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6" w:rsidRDefault="00FD5B9F" w:rsidP="00B60115">
      <w:pPr>
        <w:jc w:val="center"/>
        <w:rPr>
          <w:lang w:val="sr-Latn-BA"/>
        </w:rPr>
      </w:pPr>
      <w:r>
        <w:rPr>
          <w:noProof/>
          <w:lang w:val="en-US" w:eastAsia="en-US"/>
        </w:rPr>
        <w:drawing>
          <wp:inline distT="0" distB="0" distL="0" distR="0">
            <wp:extent cx="5941060" cy="1330518"/>
            <wp:effectExtent l="19050" t="0" r="2540" b="0"/>
            <wp:docPr id="4" name="Picture 1" descr="C:\Users\Hp\Desktop\preglasaj\Preglasaj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eglasaj\Preglasaj 1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3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86" w:rsidRDefault="00882986" w:rsidP="00B60115">
      <w:pPr>
        <w:jc w:val="center"/>
        <w:rPr>
          <w:lang w:val="sr-Latn-BA"/>
        </w:rPr>
      </w:pPr>
    </w:p>
    <w:p w:rsidR="00882986" w:rsidRDefault="00882986" w:rsidP="00B60115">
      <w:pPr>
        <w:jc w:val="center"/>
        <w:rPr>
          <w:lang w:val="sr-Latn-BA"/>
        </w:rPr>
      </w:pPr>
    </w:p>
    <w:p w:rsidR="00882986" w:rsidRDefault="00882986" w:rsidP="00B60115">
      <w:pPr>
        <w:jc w:val="center"/>
        <w:rPr>
          <w:b/>
          <w:sz w:val="32"/>
          <w:szCs w:val="32"/>
          <w:lang w:val="sr-Latn-BA"/>
        </w:rPr>
      </w:pPr>
      <w:r w:rsidRPr="00882986">
        <w:rPr>
          <w:b/>
          <w:sz w:val="32"/>
          <w:szCs w:val="32"/>
          <w:lang w:val="sr-Latn-BA"/>
        </w:rPr>
        <w:t>Poziv za školu novinarstva „Preglasaj</w:t>
      </w:r>
      <w:r>
        <w:rPr>
          <w:b/>
          <w:sz w:val="32"/>
          <w:szCs w:val="32"/>
          <w:lang w:val="sr-Latn-BA"/>
        </w:rPr>
        <w:t>!</w:t>
      </w:r>
      <w:r w:rsidRPr="00882986">
        <w:rPr>
          <w:b/>
          <w:sz w:val="32"/>
          <w:szCs w:val="32"/>
          <w:lang w:val="sr-Latn-BA"/>
        </w:rPr>
        <w:t>“</w:t>
      </w:r>
    </w:p>
    <w:p w:rsidR="00B60115" w:rsidRPr="00882986" w:rsidRDefault="00B60115" w:rsidP="00882986">
      <w:pPr>
        <w:jc w:val="center"/>
        <w:rPr>
          <w:b/>
          <w:sz w:val="32"/>
          <w:szCs w:val="32"/>
          <w:lang w:val="sr-Latn-BA"/>
        </w:rPr>
      </w:pPr>
    </w:p>
    <w:p w:rsidR="00882986" w:rsidRDefault="00882986" w:rsidP="00D2132A">
      <w:pPr>
        <w:rPr>
          <w:lang w:val="sr-Latn-BA"/>
        </w:rPr>
      </w:pPr>
      <w:r>
        <w:rPr>
          <w:lang w:val="sr-Latn-BA"/>
        </w:rPr>
        <w:t>Udruženje za alternativnu muzičku produkciju i izdavaštvo BUM i portal „Impus“ poziva studente/ice novinarstva, društvenih nauka i sve zainteresovane mlade do 25 godina iz Bosne i Hercegovine da se prijave na školu novinarstva „Preglasaj!“. Škola novinarsta održava se uz podršku „ActionSee“ mreže i biće organizovana u Banja Luci u periodu od 8. do 10. juna.</w:t>
      </w:r>
    </w:p>
    <w:p w:rsidR="00B53221" w:rsidRDefault="00882986" w:rsidP="00D2132A">
      <w:pPr>
        <w:rPr>
          <w:lang w:val="sr-Latn-BA"/>
        </w:rPr>
      </w:pPr>
      <w:r>
        <w:rPr>
          <w:lang w:val="sr-Latn-BA"/>
        </w:rPr>
        <w:t>Polaznici/e  škole će imati priliku da se teoretski i</w:t>
      </w:r>
      <w:r w:rsidR="00FD5B9F">
        <w:rPr>
          <w:lang w:val="sr-Latn-BA"/>
        </w:rPr>
        <w:t xml:space="preserve"> praktično upoznaju sa osnovama istraživačkog novinarstva</w:t>
      </w:r>
      <w:r w:rsidR="008C3E68">
        <w:rPr>
          <w:lang w:val="sr-Latn-BA"/>
        </w:rPr>
        <w:t xml:space="preserve">, pisanjem kolumne, </w:t>
      </w:r>
      <w:r w:rsidR="00B53221">
        <w:rPr>
          <w:lang w:val="sr-Latn-BA"/>
        </w:rPr>
        <w:t>kako napraviti video i kako dati vidljivost sadržajim.</w:t>
      </w:r>
      <w:r>
        <w:rPr>
          <w:lang w:val="sr-Latn-BA"/>
        </w:rPr>
        <w:t xml:space="preserve"> Predavači na školi </w:t>
      </w:r>
      <w:r w:rsidR="00B53221">
        <w:rPr>
          <w:lang w:val="sr-Latn-BA"/>
        </w:rPr>
        <w:t>su novinar i profesor novinarstva Dinko Gruhonjić, bosanskohercegovački kolumnista</w:t>
      </w:r>
      <w:r>
        <w:rPr>
          <w:lang w:val="sr-Latn-BA"/>
        </w:rPr>
        <w:t xml:space="preserve"> Dragan Bursać i Feđa Kulenović, nezavisni informacijski stručnjak.</w:t>
      </w:r>
    </w:p>
    <w:p w:rsidR="00B9489B" w:rsidRDefault="00B9489B" w:rsidP="00D2132A">
      <w:pPr>
        <w:rPr>
          <w:lang w:val="sr-Latn-BA"/>
        </w:rPr>
      </w:pPr>
      <w:r>
        <w:rPr>
          <w:lang w:val="sr-Latn-BA"/>
        </w:rPr>
        <w:t>Predavanja škole su „Osnove istraživačkog i analitičkog novinarstva“ i „Politički izvori i izbori“ profesora Dinka Gruhonjića. „</w:t>
      </w:r>
      <w:r w:rsidR="00BC4C4C">
        <w:rPr>
          <w:lang w:val="sr-Latn-BA"/>
        </w:rPr>
        <w:t>Moj</w:t>
      </w:r>
      <w:r w:rsidR="00D2132A">
        <w:rPr>
          <w:lang w:val="sr-Latn-BA"/>
        </w:rPr>
        <w:t>o nova forma novinarskog izvještavanja“ i „Vidljivost sadržaja u realnom vremenu“ Feđe Kulenovića. Kolumnista Dragan Bursać o izazovima, početcima i nastanku teksta „Kolumna kao stav“.</w:t>
      </w:r>
    </w:p>
    <w:p w:rsidR="00B53221" w:rsidRDefault="00B53221" w:rsidP="00D2132A">
      <w:pPr>
        <w:rPr>
          <w:lang w:val="sr-Latn-BA"/>
        </w:rPr>
      </w:pPr>
      <w:r>
        <w:rPr>
          <w:lang w:val="sr-Latn-BA"/>
        </w:rPr>
        <w:t>Nakon završetka škole najbolji polaznici/e će dobiti priliku honorarnog rada u redakciji „Impuls“.</w:t>
      </w:r>
    </w:p>
    <w:p w:rsidR="00F86B73" w:rsidRDefault="00882986" w:rsidP="00D2132A">
      <w:pPr>
        <w:rPr>
          <w:b/>
          <w:lang w:val="sr-Latn-BA"/>
        </w:rPr>
      </w:pPr>
      <w:r w:rsidRPr="00D7247F">
        <w:rPr>
          <w:b/>
          <w:lang w:val="sr-Latn-BA"/>
        </w:rPr>
        <w:t>Škola novinarstva „Preglasaj“ biće organizovana u Banja Luci u periodu od 8. do 10. juna, svi zainte</w:t>
      </w:r>
      <w:r w:rsidR="008C3E68">
        <w:rPr>
          <w:b/>
          <w:lang w:val="sr-Latn-BA"/>
        </w:rPr>
        <w:t>resovani za učešće moraju dostaviti motivaciono pismo, jedan članak ili video uradak i zajedno sa ispun</w:t>
      </w:r>
      <w:r w:rsidR="00F86B73">
        <w:rPr>
          <w:b/>
          <w:lang w:val="sr-Latn-BA"/>
        </w:rPr>
        <w:t>jenim formularom poslati na</w:t>
      </w:r>
      <w:r w:rsidR="00D2132A">
        <w:rPr>
          <w:b/>
          <w:lang w:val="sr-Latn-BA"/>
        </w:rPr>
        <w:t xml:space="preserve"> adrese </w:t>
      </w:r>
      <w:hyperlink r:id="rId7" w:history="1">
        <w:r w:rsidR="00D2132A" w:rsidRPr="00A411F3">
          <w:rPr>
            <w:rStyle w:val="Hyperlink"/>
            <w:b/>
            <w:lang w:val="sr-Latn-BA"/>
          </w:rPr>
          <w:t>redakcija@impulsportal.net</w:t>
        </w:r>
      </w:hyperlink>
      <w:r w:rsidR="00D2132A">
        <w:rPr>
          <w:b/>
          <w:lang w:val="sr-Latn-BA"/>
        </w:rPr>
        <w:t xml:space="preserve"> </w:t>
      </w:r>
      <w:r w:rsidR="008C3E68">
        <w:rPr>
          <w:b/>
          <w:lang w:val="sr-Latn-BA"/>
        </w:rPr>
        <w:t xml:space="preserve">i </w:t>
      </w:r>
      <w:hyperlink r:id="rId8" w:history="1">
        <w:r w:rsidR="008C3E68" w:rsidRPr="0060153D">
          <w:rPr>
            <w:rStyle w:val="Hyperlink"/>
            <w:b/>
            <w:lang w:val="sr-Latn-BA"/>
          </w:rPr>
          <w:t>unsageto@gmail.com</w:t>
        </w:r>
      </w:hyperlink>
      <w:r w:rsidR="00F86B73">
        <w:rPr>
          <w:b/>
          <w:lang w:val="sr-Latn-BA"/>
        </w:rPr>
        <w:t>, sa naznakom Preglasaj, najkasnije do 3. juna</w:t>
      </w:r>
      <w:r w:rsidRPr="00D7247F">
        <w:rPr>
          <w:b/>
          <w:lang w:val="sr-Latn-BA"/>
        </w:rPr>
        <w:t xml:space="preserve"> 2018.</w:t>
      </w:r>
      <w:r w:rsidR="00B60115">
        <w:rPr>
          <w:b/>
          <w:lang w:val="sr-Latn-BA"/>
        </w:rPr>
        <w:t xml:space="preserve"> </w:t>
      </w:r>
    </w:p>
    <w:p w:rsidR="00882986" w:rsidRPr="00B60115" w:rsidRDefault="00882986" w:rsidP="00D2132A">
      <w:pPr>
        <w:rPr>
          <w:b/>
          <w:lang w:val="sr-Latn-BA"/>
        </w:rPr>
      </w:pPr>
      <w:r>
        <w:rPr>
          <w:lang w:val="sr-Latn-BA"/>
        </w:rPr>
        <w:t xml:space="preserve">Organizator snosi troškove puta, smještaja i ishrane. O rezultatima konkursa prijavljeni/e će biti obavješteni/e najkasnije </w:t>
      </w:r>
      <w:r w:rsidR="00F86B73">
        <w:rPr>
          <w:lang w:val="sr-Latn-BA"/>
        </w:rPr>
        <w:t>do 5</w:t>
      </w:r>
      <w:r>
        <w:rPr>
          <w:lang w:val="sr-Latn-BA"/>
        </w:rPr>
        <w:t xml:space="preserve">. juna. </w:t>
      </w:r>
    </w:p>
    <w:p w:rsidR="00882986" w:rsidRDefault="00B60115" w:rsidP="00D2132A">
      <w:pPr>
        <w:rPr>
          <w:lang w:val="sr-Latn-BA"/>
        </w:rPr>
      </w:pPr>
      <w:r>
        <w:rPr>
          <w:lang w:val="sr-Latn-BA"/>
        </w:rPr>
        <w:t>S</w:t>
      </w:r>
      <w:r w:rsidR="00882986">
        <w:rPr>
          <w:lang w:val="sr-Latn-BA"/>
        </w:rPr>
        <w:t xml:space="preserve">ve dodatne informacije možete dobiti putem </w:t>
      </w:r>
      <w:r>
        <w:rPr>
          <w:lang w:val="sr-Latn-BA"/>
        </w:rPr>
        <w:t xml:space="preserve">e- </w:t>
      </w:r>
      <w:r w:rsidR="00882986">
        <w:rPr>
          <w:lang w:val="sr-Latn-BA"/>
        </w:rPr>
        <w:t>maila</w:t>
      </w:r>
      <w:r>
        <w:rPr>
          <w:lang w:val="sr-Latn-BA"/>
        </w:rPr>
        <w:t xml:space="preserve"> adrese</w:t>
      </w:r>
      <w:r w:rsidR="00882986">
        <w:rPr>
          <w:lang w:val="sr-Latn-BA"/>
        </w:rPr>
        <w:t xml:space="preserve"> </w:t>
      </w:r>
      <w:hyperlink r:id="rId9" w:history="1">
        <w:r w:rsidR="00F86B73" w:rsidRPr="0060153D">
          <w:rPr>
            <w:rStyle w:val="Hyperlink"/>
            <w:b/>
            <w:lang w:val="sr-Latn-BA"/>
          </w:rPr>
          <w:t>unsageto@gmail.com</w:t>
        </w:r>
      </w:hyperlink>
      <w:r w:rsidR="00F86B73">
        <w:rPr>
          <w:b/>
          <w:lang w:val="sr-Latn-BA"/>
        </w:rPr>
        <w:t xml:space="preserve"> </w:t>
      </w:r>
      <w:r w:rsidR="00D2132A">
        <w:rPr>
          <w:b/>
          <w:lang w:val="sr-Latn-BA"/>
        </w:rPr>
        <w:t xml:space="preserve">i </w:t>
      </w:r>
      <w:hyperlink r:id="rId10" w:history="1">
        <w:r w:rsidR="00D2132A" w:rsidRPr="00A411F3">
          <w:rPr>
            <w:rStyle w:val="Hyperlink"/>
            <w:b/>
            <w:lang w:val="sr-Latn-BA"/>
          </w:rPr>
          <w:t>redakcija@impulsportal.net</w:t>
        </w:r>
      </w:hyperlink>
      <w:r w:rsidR="00D2132A">
        <w:rPr>
          <w:b/>
          <w:lang w:val="sr-Latn-BA"/>
        </w:rPr>
        <w:t xml:space="preserve"> </w:t>
      </w:r>
    </w:p>
    <w:p w:rsidR="00882986" w:rsidRPr="00882986" w:rsidRDefault="00882986" w:rsidP="00882986">
      <w:pPr>
        <w:rPr>
          <w:sz w:val="24"/>
          <w:szCs w:val="24"/>
          <w:lang w:val="sr-Latn-BA"/>
        </w:rPr>
      </w:pPr>
    </w:p>
    <w:sectPr w:rsidR="00882986" w:rsidRPr="00882986" w:rsidSect="00C65444">
      <w:headerReference w:type="default" r:id="rId11"/>
      <w:footerReference w:type="default" r:id="rId12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5E" w:rsidRDefault="007A275E">
      <w:pPr>
        <w:spacing w:after="0" w:line="240" w:lineRule="auto"/>
      </w:pPr>
      <w:r>
        <w:separator/>
      </w:r>
    </w:p>
  </w:endnote>
  <w:endnote w:type="continuationSeparator" w:id="1">
    <w:p w:rsidR="007A275E" w:rsidRDefault="007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82757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2F01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01170" cy="325644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51" cy="363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2372E7" w:rsidRPr="00C143CA" w:rsidRDefault="004C6CBA" w:rsidP="00C143CA">
          <w:pPr>
            <w:pStyle w:val="Footer"/>
            <w:tabs>
              <w:tab w:val="clear" w:pos="9026"/>
            </w:tabs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project </w:t>
          </w:r>
          <w:r>
            <w:rPr>
              <w:rFonts w:ascii="Calibri" w:hAnsi="Calibri" w:cs="Calibri"/>
              <w:sz w:val="20"/>
              <w:lang w:val="en-US"/>
            </w:rPr>
            <w:t>is implemented by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Metamorphosis Foundation, 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 w:rsidR="002372E7">
            <w:rPr>
              <w:rFonts w:ascii="Calibri" w:hAnsi="Calibri" w:cs="Calibri"/>
              <w:sz w:val="20"/>
              <w:lang w:val="en-US"/>
            </w:rPr>
            <w:t>ncy and Accountability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and LevizjaMjaft!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.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4C6CBA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 w:rsidRPr="00ED39C1">
            <w:rPr>
              <w:rFonts w:cstheme="minorHAnsi"/>
              <w:sz w:val="20"/>
              <w:szCs w:val="20"/>
              <w:lang w:val="en-US"/>
            </w:rPr>
            <w:t>This project is funded by the European Union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ED39C1" w:rsidRPr="00ED39C1" w:rsidRDefault="00ED39C1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A02BD0" w:rsidRPr="0062612C" w:rsidRDefault="007A275E" w:rsidP="0062612C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5E" w:rsidRDefault="007A275E">
      <w:pPr>
        <w:spacing w:after="0" w:line="240" w:lineRule="auto"/>
      </w:pPr>
      <w:r>
        <w:separator/>
      </w:r>
    </w:p>
  </w:footnote>
  <w:footnote w:type="continuationSeparator" w:id="1">
    <w:p w:rsidR="007A275E" w:rsidRDefault="007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9A" w:rsidRDefault="007A275E" w:rsidP="00C1316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7781F"/>
    <w:rsid w:val="00020E71"/>
    <w:rsid w:val="00044AA8"/>
    <w:rsid w:val="001571CE"/>
    <w:rsid w:val="001A061C"/>
    <w:rsid w:val="001E5A0B"/>
    <w:rsid w:val="002372E7"/>
    <w:rsid w:val="002E5CFD"/>
    <w:rsid w:val="0037781F"/>
    <w:rsid w:val="003C4449"/>
    <w:rsid w:val="00470C69"/>
    <w:rsid w:val="004725EB"/>
    <w:rsid w:val="00493466"/>
    <w:rsid w:val="004A5A0C"/>
    <w:rsid w:val="004B3882"/>
    <w:rsid w:val="004C6CBA"/>
    <w:rsid w:val="00582757"/>
    <w:rsid w:val="005928A0"/>
    <w:rsid w:val="005D63FD"/>
    <w:rsid w:val="005E7342"/>
    <w:rsid w:val="007A275E"/>
    <w:rsid w:val="007B07FF"/>
    <w:rsid w:val="007F2A7D"/>
    <w:rsid w:val="00874057"/>
    <w:rsid w:val="00882986"/>
    <w:rsid w:val="008A0346"/>
    <w:rsid w:val="008C3E68"/>
    <w:rsid w:val="00A022D1"/>
    <w:rsid w:val="00A12F01"/>
    <w:rsid w:val="00AB40D8"/>
    <w:rsid w:val="00B53221"/>
    <w:rsid w:val="00B60115"/>
    <w:rsid w:val="00B9489B"/>
    <w:rsid w:val="00BB6524"/>
    <w:rsid w:val="00BC4C4C"/>
    <w:rsid w:val="00C143CA"/>
    <w:rsid w:val="00CC6AB3"/>
    <w:rsid w:val="00CE60C0"/>
    <w:rsid w:val="00D01097"/>
    <w:rsid w:val="00D2132A"/>
    <w:rsid w:val="00D76093"/>
    <w:rsid w:val="00D773F6"/>
    <w:rsid w:val="00E14EF5"/>
    <w:rsid w:val="00ED39C1"/>
    <w:rsid w:val="00F86B73"/>
    <w:rsid w:val="00FD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6"/>
    <w:rPr>
      <w:rFonts w:ascii="Tahoma" w:eastAsiaTheme="minorEastAsia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aget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akcija@impulsportal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dakcija@impulsportal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nsaget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Hp</cp:lastModifiedBy>
  <cp:revision>10</cp:revision>
  <dcterms:created xsi:type="dcterms:W3CDTF">2016-02-18T15:51:00Z</dcterms:created>
  <dcterms:modified xsi:type="dcterms:W3CDTF">2018-05-09T14:15:00Z</dcterms:modified>
</cp:coreProperties>
</file>